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CF215" w14:textId="77777777" w:rsidR="009E2D5A" w:rsidRPr="00F03574" w:rsidRDefault="009E2D5A" w:rsidP="00491ABB">
      <w:pPr>
        <w:jc w:val="center"/>
        <w:rPr>
          <w:lang w:val="et-EE"/>
        </w:rPr>
      </w:pPr>
    </w:p>
    <w:p w14:paraId="228FD64A" w14:textId="77777777" w:rsidR="0057653B" w:rsidRPr="00F03574" w:rsidRDefault="00491ABB" w:rsidP="00491ABB">
      <w:pPr>
        <w:jc w:val="center"/>
        <w:rPr>
          <w:lang w:val="et-EE"/>
        </w:rPr>
      </w:pPr>
      <w:r w:rsidRPr="00F03574">
        <w:rPr>
          <w:lang w:val="et-EE"/>
        </w:rPr>
        <w:t>Kinnitus</w:t>
      </w:r>
      <w:r w:rsidRPr="00F03574">
        <w:rPr>
          <w:lang w:val="et-EE"/>
        </w:rPr>
        <w:br/>
        <w:t>e-posti saatmise reeglitega nõustumise kohta</w:t>
      </w:r>
    </w:p>
    <w:p w14:paraId="031C9361" w14:textId="77777777" w:rsidR="00491ABB" w:rsidRPr="00F03574" w:rsidRDefault="00491ABB">
      <w:pPr>
        <w:rPr>
          <w:lang w:val="et-EE"/>
        </w:rPr>
      </w:pPr>
    </w:p>
    <w:p w14:paraId="7A4E9014" w14:textId="77777777" w:rsidR="00491ABB" w:rsidRPr="00F03574" w:rsidRDefault="00491ABB">
      <w:pPr>
        <w:rPr>
          <w:lang w:val="et-EE"/>
        </w:rPr>
      </w:pPr>
    </w:p>
    <w:p w14:paraId="32FA570A" w14:textId="77777777" w:rsidR="00491ABB" w:rsidRPr="00F03574" w:rsidRDefault="00491ABB">
      <w:pPr>
        <w:rPr>
          <w:lang w:val="et-EE"/>
        </w:rPr>
      </w:pPr>
    </w:p>
    <w:p w14:paraId="48E9EA48" w14:textId="46BE79F1" w:rsidR="00491ABB" w:rsidRPr="00F03574" w:rsidRDefault="00491ABB">
      <w:pPr>
        <w:rPr>
          <w:lang w:val="et-EE"/>
        </w:rPr>
      </w:pPr>
      <w:r w:rsidRPr="00F03574">
        <w:rPr>
          <w:lang w:val="et-EE"/>
        </w:rPr>
        <w:t>Käesolevaga kinnitan, et olen teadlik ja järgin e-posti saatmisel Euroopa Liidu direktiive, Eest</w:t>
      </w:r>
      <w:r w:rsidR="00661B8F" w:rsidRPr="00F03574">
        <w:rPr>
          <w:lang w:val="et-EE"/>
        </w:rPr>
        <w:t>i Vabariigi seadusi</w:t>
      </w:r>
      <w:r w:rsidR="00FF7F0A" w:rsidRPr="00F03574">
        <w:rPr>
          <w:lang w:val="et-EE"/>
        </w:rPr>
        <w:t xml:space="preserve"> ja</w:t>
      </w:r>
      <w:r w:rsidR="00D06C71" w:rsidRPr="00F03574">
        <w:rPr>
          <w:lang w:val="et-EE"/>
        </w:rPr>
        <w:t> Andmekaitse inspektsiooni juhist "Elektrooniliste kontaktandmete kasutamine otseturustuses"</w:t>
      </w:r>
      <w:r w:rsidR="00FF7F0A" w:rsidRPr="00F03574">
        <w:rPr>
          <w:lang w:val="et-EE"/>
        </w:rPr>
        <w:t xml:space="preserve"> (vt Lisa 1)</w:t>
      </w:r>
      <w:r w:rsidR="00D06C71" w:rsidRPr="00F03574">
        <w:rPr>
          <w:lang w:val="et-EE"/>
        </w:rPr>
        <w:t xml:space="preserve">, </w:t>
      </w:r>
      <w:r w:rsidR="00661B8F" w:rsidRPr="00F03574">
        <w:rPr>
          <w:lang w:val="et-EE"/>
        </w:rPr>
        <w:t>Zone M</w:t>
      </w:r>
      <w:r w:rsidRPr="00F03574">
        <w:rPr>
          <w:lang w:val="et-EE"/>
        </w:rPr>
        <w:t xml:space="preserve">edia OÜ </w:t>
      </w:r>
      <w:r w:rsidR="00273E96" w:rsidRPr="00F03574">
        <w:rPr>
          <w:lang w:val="et-EE"/>
        </w:rPr>
        <w:t>Serveriteenuste</w:t>
      </w:r>
      <w:r w:rsidRPr="00F03574">
        <w:rPr>
          <w:lang w:val="et-EE"/>
        </w:rPr>
        <w:t xml:space="preserve"> </w:t>
      </w:r>
      <w:proofErr w:type="spellStart"/>
      <w:r w:rsidR="00273E96" w:rsidRPr="00F03574">
        <w:rPr>
          <w:lang w:val="et-EE"/>
        </w:rPr>
        <w:t>üldtingimustes</w:t>
      </w:r>
      <w:proofErr w:type="spellEnd"/>
      <w:r w:rsidR="00273E96" w:rsidRPr="00F03574">
        <w:rPr>
          <w:lang w:val="et-EE"/>
        </w:rPr>
        <w:t xml:space="preserve"> </w:t>
      </w:r>
      <w:r w:rsidRPr="00F03574">
        <w:rPr>
          <w:lang w:val="et-EE"/>
        </w:rPr>
        <w:t>sätestatut</w:t>
      </w:r>
      <w:r w:rsidR="00A22066" w:rsidRPr="00F03574">
        <w:rPr>
          <w:lang w:val="et-EE"/>
        </w:rPr>
        <w:t xml:space="preserve"> ning internetikasutuse head tava</w:t>
      </w:r>
      <w:r w:rsidRPr="00F03574">
        <w:rPr>
          <w:lang w:val="et-EE"/>
        </w:rPr>
        <w:t>.</w:t>
      </w:r>
    </w:p>
    <w:p w14:paraId="50CDA937" w14:textId="77777777" w:rsidR="00491ABB" w:rsidRPr="00F03574" w:rsidRDefault="00491ABB">
      <w:pPr>
        <w:rPr>
          <w:lang w:val="et-EE"/>
        </w:rPr>
      </w:pPr>
    </w:p>
    <w:p w14:paraId="7CE193BF" w14:textId="69C55987" w:rsidR="00491ABB" w:rsidRPr="00F03574" w:rsidRDefault="00491ABB">
      <w:pPr>
        <w:rPr>
          <w:lang w:val="et-EE"/>
        </w:rPr>
      </w:pPr>
      <w:r w:rsidRPr="00F03574">
        <w:rPr>
          <w:lang w:val="et-EE"/>
        </w:rPr>
        <w:t xml:space="preserve">Mõistan, et ostetud, renditud, veebide skaneerimise kaudu kogutud või </w:t>
      </w:r>
      <w:r w:rsidR="00661B8F" w:rsidRPr="00F03574">
        <w:rPr>
          <w:lang w:val="et-EE"/>
        </w:rPr>
        <w:t xml:space="preserve">mistahes </w:t>
      </w:r>
      <w:r w:rsidRPr="00F03574">
        <w:rPr>
          <w:lang w:val="et-EE"/>
        </w:rPr>
        <w:t>muul viisil peale kasutaja selgesõnalise nõustumise saadud list</w:t>
      </w:r>
      <w:r w:rsidR="00F03574">
        <w:rPr>
          <w:lang w:val="et-EE"/>
        </w:rPr>
        <w:t>i kasutamine või vastava teenuse ostmine</w:t>
      </w:r>
      <w:r w:rsidRPr="00F03574">
        <w:rPr>
          <w:lang w:val="et-EE"/>
        </w:rPr>
        <w:t xml:space="preserve"> </w:t>
      </w:r>
      <w:r w:rsidR="00F03574">
        <w:rPr>
          <w:b/>
          <w:lang w:val="et-EE"/>
        </w:rPr>
        <w:t>on keelatud</w:t>
      </w:r>
      <w:r w:rsidRPr="00F03574">
        <w:rPr>
          <w:lang w:val="et-EE"/>
        </w:rPr>
        <w:t>.</w:t>
      </w:r>
    </w:p>
    <w:p w14:paraId="74EDEE62" w14:textId="77777777" w:rsidR="00491ABB" w:rsidRPr="00F03574" w:rsidRDefault="00491ABB">
      <w:pPr>
        <w:rPr>
          <w:lang w:val="et-EE"/>
        </w:rPr>
      </w:pPr>
    </w:p>
    <w:p w14:paraId="66DF2A4C" w14:textId="04A8D13B" w:rsidR="00E85FB7" w:rsidRPr="00F03574" w:rsidRDefault="00491ABB">
      <w:pPr>
        <w:rPr>
          <w:lang w:val="et-EE"/>
        </w:rPr>
      </w:pPr>
      <w:r w:rsidRPr="00F03574">
        <w:rPr>
          <w:lang w:val="et-EE"/>
        </w:rPr>
        <w:t xml:space="preserve">Kohustun tagama, et saadan </w:t>
      </w:r>
      <w:r w:rsidR="00A22066" w:rsidRPr="00F03574">
        <w:rPr>
          <w:lang w:val="et-EE"/>
        </w:rPr>
        <w:t>e-posti otseturu</w:t>
      </w:r>
      <w:r w:rsidR="00273E96" w:rsidRPr="00F03574">
        <w:rPr>
          <w:lang w:val="et-EE"/>
        </w:rPr>
        <w:t>st</w:t>
      </w:r>
      <w:r w:rsidR="00A22066" w:rsidRPr="00F03574">
        <w:rPr>
          <w:lang w:val="et-EE"/>
        </w:rPr>
        <w:t>ust</w:t>
      </w:r>
      <w:r w:rsidRPr="00F03574">
        <w:rPr>
          <w:lang w:val="et-EE"/>
        </w:rPr>
        <w:t xml:space="preserve"> </w:t>
      </w:r>
      <w:r w:rsidRPr="00F03574">
        <w:rPr>
          <w:b/>
          <w:lang w:val="et-EE"/>
        </w:rPr>
        <w:t>ainult selleks eelnevalt nõusoleku andnud</w:t>
      </w:r>
      <w:r w:rsidRPr="00F03574">
        <w:rPr>
          <w:lang w:val="et-EE"/>
        </w:rPr>
        <w:t xml:space="preserve"> olemasolevatele klientidele ning </w:t>
      </w:r>
      <w:r w:rsidRPr="00F03574">
        <w:rPr>
          <w:b/>
          <w:lang w:val="et-EE"/>
        </w:rPr>
        <w:t>vabatahtlikult</w:t>
      </w:r>
      <w:r w:rsidRPr="00F03574">
        <w:rPr>
          <w:lang w:val="et-EE"/>
        </w:rPr>
        <w:t xml:space="preserve"> ja </w:t>
      </w:r>
      <w:r w:rsidRPr="00F03574">
        <w:rPr>
          <w:b/>
          <w:lang w:val="et-EE"/>
        </w:rPr>
        <w:t>teadlikult</w:t>
      </w:r>
      <w:r w:rsidRPr="00F03574">
        <w:rPr>
          <w:lang w:val="et-EE"/>
        </w:rPr>
        <w:t xml:space="preserve"> postilistiga liitunutele (ingl k </w:t>
      </w:r>
      <w:proofErr w:type="spellStart"/>
      <w:r w:rsidRPr="00F03574">
        <w:rPr>
          <w:i/>
          <w:lang w:val="et-EE"/>
        </w:rPr>
        <w:t>opt-in</w:t>
      </w:r>
      <w:proofErr w:type="spellEnd"/>
      <w:r w:rsidR="00E85FB7" w:rsidRPr="00F03574">
        <w:rPr>
          <w:lang w:val="et-EE"/>
        </w:rPr>
        <w:t>).</w:t>
      </w:r>
    </w:p>
    <w:p w14:paraId="1A6699D3" w14:textId="77777777" w:rsidR="00E85FB7" w:rsidRPr="00F03574" w:rsidRDefault="00E85FB7">
      <w:pPr>
        <w:rPr>
          <w:lang w:val="et-EE"/>
        </w:rPr>
      </w:pPr>
    </w:p>
    <w:p w14:paraId="60C6F8FE" w14:textId="77777777" w:rsidR="00273E96" w:rsidRPr="00F03574" w:rsidRDefault="00E85FB7">
      <w:pPr>
        <w:rPr>
          <w:lang w:val="et-EE"/>
        </w:rPr>
      </w:pPr>
      <w:r w:rsidRPr="00F03574">
        <w:rPr>
          <w:lang w:val="et-EE"/>
        </w:rPr>
        <w:t>Oman</w:t>
      </w:r>
      <w:r w:rsidR="00491ABB" w:rsidRPr="00F03574">
        <w:rPr>
          <w:lang w:val="et-EE"/>
        </w:rPr>
        <w:t xml:space="preserve"> </w:t>
      </w:r>
      <w:r w:rsidR="000C3A99" w:rsidRPr="00F03574">
        <w:rPr>
          <w:lang w:val="et-EE"/>
        </w:rPr>
        <w:t xml:space="preserve">detailset </w:t>
      </w:r>
      <w:r w:rsidR="00491ABB" w:rsidRPr="00F03574">
        <w:rPr>
          <w:lang w:val="et-EE"/>
        </w:rPr>
        <w:t>ülevaadet kõigi listis olevate aadresside päritolu ja nõusoleku saamise viisi kohta</w:t>
      </w:r>
      <w:r w:rsidR="00A22066" w:rsidRPr="00F03574">
        <w:rPr>
          <w:lang w:val="et-EE"/>
        </w:rPr>
        <w:t xml:space="preserve"> ning tean, et Elektroonilise side seaduse kohaselt lasub tõendamise kohustus isikul, kel</w:t>
      </w:r>
      <w:r w:rsidR="00273E96" w:rsidRPr="00F03574">
        <w:rPr>
          <w:lang w:val="et-EE"/>
        </w:rPr>
        <w:t>le nimel otseturustust tehakse.</w:t>
      </w:r>
    </w:p>
    <w:p w14:paraId="746086EC" w14:textId="77777777" w:rsidR="00273E96" w:rsidRPr="00F03574" w:rsidRDefault="00273E96">
      <w:pPr>
        <w:rPr>
          <w:lang w:val="et-EE"/>
        </w:rPr>
      </w:pPr>
    </w:p>
    <w:p w14:paraId="41EF59E9" w14:textId="77777777" w:rsidR="00273E96" w:rsidRPr="00F03574" w:rsidRDefault="00A22066">
      <w:pPr>
        <w:rPr>
          <w:lang w:val="et-EE"/>
        </w:rPr>
      </w:pPr>
      <w:r w:rsidRPr="00F03574">
        <w:rPr>
          <w:lang w:val="et-EE"/>
        </w:rPr>
        <w:t>P</w:t>
      </w:r>
      <w:r w:rsidR="00491ABB" w:rsidRPr="00F03574">
        <w:rPr>
          <w:lang w:val="et-EE"/>
        </w:rPr>
        <w:t xml:space="preserve">ostilisti registreerimisel ei kasuta eksitavaid meetodeid nagu eelmärgitud valik ning rakendan võimalusel kinnitusega liitumist (ingl k </w:t>
      </w:r>
      <w:proofErr w:type="spellStart"/>
      <w:r w:rsidR="00491ABB" w:rsidRPr="00F03574">
        <w:rPr>
          <w:i/>
          <w:lang w:val="et-EE"/>
        </w:rPr>
        <w:t>double</w:t>
      </w:r>
      <w:proofErr w:type="spellEnd"/>
      <w:r w:rsidR="00491ABB" w:rsidRPr="00F03574">
        <w:rPr>
          <w:i/>
          <w:lang w:val="et-EE"/>
        </w:rPr>
        <w:t xml:space="preserve"> </w:t>
      </w:r>
      <w:proofErr w:type="spellStart"/>
      <w:r w:rsidR="00491ABB" w:rsidRPr="00F03574">
        <w:rPr>
          <w:i/>
          <w:lang w:val="et-EE"/>
        </w:rPr>
        <w:t>opt-in</w:t>
      </w:r>
      <w:proofErr w:type="spellEnd"/>
      <w:r w:rsidR="00273E96" w:rsidRPr="00F03574">
        <w:rPr>
          <w:lang w:val="et-EE"/>
        </w:rPr>
        <w:t>).</w:t>
      </w:r>
    </w:p>
    <w:p w14:paraId="70ACB8D0" w14:textId="77777777" w:rsidR="00273E96" w:rsidRPr="00F03574" w:rsidRDefault="00273E96">
      <w:pPr>
        <w:rPr>
          <w:lang w:val="et-EE"/>
        </w:rPr>
      </w:pPr>
    </w:p>
    <w:p w14:paraId="6D2802ED" w14:textId="4CF51D66" w:rsidR="00491ABB" w:rsidRPr="00F03574" w:rsidRDefault="00491ABB">
      <w:pPr>
        <w:rPr>
          <w:lang w:val="et-EE"/>
        </w:rPr>
      </w:pPr>
      <w:r w:rsidRPr="00F03574">
        <w:rPr>
          <w:lang w:val="et-EE"/>
        </w:rPr>
        <w:t>Listist lahkum</w:t>
      </w:r>
      <w:r w:rsidR="00273E96" w:rsidRPr="00F03574">
        <w:rPr>
          <w:lang w:val="et-EE"/>
        </w:rPr>
        <w:t xml:space="preserve">ise võimaluse tagan ühe klikiga, kasutades listi haldamiseks ja kirjade saatmiseks selleks mõeldud lahendust (nt </w:t>
      </w:r>
      <w:proofErr w:type="spellStart"/>
      <w:r w:rsidR="00273E96" w:rsidRPr="00F03574">
        <w:rPr>
          <w:lang w:val="et-EE"/>
        </w:rPr>
        <w:t>MailChimp</w:t>
      </w:r>
      <w:proofErr w:type="spellEnd"/>
      <w:r w:rsidR="00273E96" w:rsidRPr="00F03574">
        <w:rPr>
          <w:lang w:val="et-EE"/>
        </w:rPr>
        <w:t xml:space="preserve">, </w:t>
      </w:r>
      <w:proofErr w:type="spellStart"/>
      <w:r w:rsidR="00273E96" w:rsidRPr="00F03574">
        <w:rPr>
          <w:lang w:val="et-EE"/>
        </w:rPr>
        <w:t>Campaign</w:t>
      </w:r>
      <w:proofErr w:type="spellEnd"/>
      <w:r w:rsidR="00273E96" w:rsidRPr="00F03574">
        <w:rPr>
          <w:lang w:val="et-EE"/>
        </w:rPr>
        <w:t xml:space="preserve"> Monitor, </w:t>
      </w:r>
      <w:proofErr w:type="spellStart"/>
      <w:r w:rsidR="00273E96" w:rsidRPr="00F03574">
        <w:rPr>
          <w:lang w:val="et-EE"/>
        </w:rPr>
        <w:t>Mailbow</w:t>
      </w:r>
      <w:proofErr w:type="spellEnd"/>
      <w:r w:rsidR="00273E96" w:rsidRPr="00F03574">
        <w:rPr>
          <w:lang w:val="et-EE"/>
        </w:rPr>
        <w:t xml:space="preserve">, </w:t>
      </w:r>
      <w:proofErr w:type="spellStart"/>
      <w:r w:rsidR="00273E96" w:rsidRPr="00F03574">
        <w:rPr>
          <w:lang w:val="et-EE"/>
        </w:rPr>
        <w:t>Sendsmaily</w:t>
      </w:r>
      <w:proofErr w:type="spellEnd"/>
      <w:r w:rsidR="00273E96" w:rsidRPr="00F03574">
        <w:rPr>
          <w:lang w:val="et-EE"/>
        </w:rPr>
        <w:t>).</w:t>
      </w:r>
    </w:p>
    <w:p w14:paraId="33051EAE" w14:textId="77777777" w:rsidR="00B136B1" w:rsidRPr="00F03574" w:rsidRDefault="00B136B1">
      <w:pPr>
        <w:rPr>
          <w:lang w:val="et-EE"/>
        </w:rPr>
      </w:pPr>
    </w:p>
    <w:p w14:paraId="6676D84B" w14:textId="77777777" w:rsidR="00B136B1" w:rsidRPr="00F03574" w:rsidRDefault="00B136B1">
      <w:pPr>
        <w:rPr>
          <w:lang w:val="et-EE"/>
        </w:rPr>
      </w:pPr>
    </w:p>
    <w:p w14:paraId="7854A257" w14:textId="77777777" w:rsidR="00B136B1" w:rsidRPr="00F03574" w:rsidRDefault="00B136B1">
      <w:pPr>
        <w:rPr>
          <w:lang w:val="et-EE"/>
        </w:rPr>
      </w:pPr>
      <w:r w:rsidRPr="00F03574">
        <w:rPr>
          <w:lang w:val="et-EE"/>
        </w:rPr>
        <w:t>[ ettevõtte rekvisiidid]</w:t>
      </w:r>
    </w:p>
    <w:p w14:paraId="61E4CF6D" w14:textId="77777777" w:rsidR="00661B8F" w:rsidRPr="00F03574" w:rsidRDefault="00661B8F">
      <w:pPr>
        <w:rPr>
          <w:lang w:val="et-EE"/>
        </w:rPr>
      </w:pPr>
    </w:p>
    <w:p w14:paraId="21F67120" w14:textId="77777777" w:rsidR="00661B8F" w:rsidRPr="00F03574" w:rsidRDefault="00661B8F" w:rsidP="00661B8F">
      <w:pPr>
        <w:rPr>
          <w:lang w:val="et-EE"/>
        </w:rPr>
      </w:pPr>
      <w:r w:rsidRPr="00F03574">
        <w:rPr>
          <w:lang w:val="et-EE"/>
        </w:rPr>
        <w:t>[ kuupäev ]</w:t>
      </w:r>
    </w:p>
    <w:p w14:paraId="065E9B04" w14:textId="77777777" w:rsidR="00B136B1" w:rsidRPr="00F03574" w:rsidRDefault="00B136B1">
      <w:pPr>
        <w:rPr>
          <w:lang w:val="et-EE"/>
        </w:rPr>
      </w:pPr>
    </w:p>
    <w:p w14:paraId="766D9961" w14:textId="77777777" w:rsidR="00B136B1" w:rsidRPr="00F03574" w:rsidRDefault="00B136B1" w:rsidP="00B136B1">
      <w:pPr>
        <w:rPr>
          <w:lang w:val="et-EE"/>
        </w:rPr>
      </w:pPr>
      <w:r w:rsidRPr="00F03574">
        <w:rPr>
          <w:lang w:val="et-EE"/>
        </w:rPr>
        <w:t>[ digitaalselt allakirju</w:t>
      </w:r>
      <w:r w:rsidR="009E2D5A" w:rsidRPr="00F03574">
        <w:rPr>
          <w:lang w:val="et-EE"/>
        </w:rPr>
        <w:t>tanu nimi, isikukood, roll ette</w:t>
      </w:r>
      <w:r w:rsidRPr="00F03574">
        <w:rPr>
          <w:lang w:val="et-EE"/>
        </w:rPr>
        <w:t>võttes]</w:t>
      </w:r>
    </w:p>
    <w:p w14:paraId="65A20F87" w14:textId="77777777" w:rsidR="00B136B1" w:rsidRPr="00F03574" w:rsidRDefault="00B136B1">
      <w:pPr>
        <w:rPr>
          <w:lang w:val="et-EE"/>
        </w:rPr>
      </w:pPr>
    </w:p>
    <w:p w14:paraId="153AA076" w14:textId="77777777" w:rsidR="00E85FB7" w:rsidRPr="00F03574" w:rsidRDefault="00E85FB7">
      <w:pPr>
        <w:rPr>
          <w:lang w:val="et-EE"/>
        </w:rPr>
      </w:pPr>
      <w:r w:rsidRPr="00F03574">
        <w:rPr>
          <w:lang w:val="et-EE"/>
        </w:rPr>
        <w:br w:type="page"/>
      </w:r>
    </w:p>
    <w:p w14:paraId="4CF0C375" w14:textId="13943026" w:rsidR="00E85FB7" w:rsidRPr="00F03574" w:rsidRDefault="00E85FB7">
      <w:pPr>
        <w:rPr>
          <w:b/>
          <w:lang w:val="et-EE"/>
        </w:rPr>
      </w:pPr>
      <w:r w:rsidRPr="00F03574">
        <w:rPr>
          <w:b/>
          <w:lang w:val="et-EE"/>
        </w:rPr>
        <w:lastRenderedPageBreak/>
        <w:t>Lisa 1 – e-postile suunatud otseturundust puudutavad seadused</w:t>
      </w:r>
      <w:r w:rsidR="00D06C71" w:rsidRPr="00F03574">
        <w:rPr>
          <w:b/>
          <w:lang w:val="et-EE"/>
        </w:rPr>
        <w:t xml:space="preserve"> ja juhised</w:t>
      </w:r>
    </w:p>
    <w:p w14:paraId="7D037CA9" w14:textId="7B7F6F96" w:rsidR="00D06C71" w:rsidRPr="00F03574" w:rsidRDefault="00D06C71" w:rsidP="00D06C71">
      <w:pPr>
        <w:pStyle w:val="Heading1"/>
        <w:rPr>
          <w:lang w:val="et-EE"/>
        </w:rPr>
      </w:pPr>
      <w:r w:rsidRPr="00F03574">
        <w:rPr>
          <w:lang w:val="et-EE"/>
        </w:rPr>
        <w:t>Andmekaitse inspektsiooni juhis</w:t>
      </w:r>
    </w:p>
    <w:p w14:paraId="16E3261A" w14:textId="77777777" w:rsidR="00D06C71" w:rsidRPr="00F03574" w:rsidRDefault="00D06C71" w:rsidP="00D06C71">
      <w:pPr>
        <w:rPr>
          <w:lang w:val="et-EE"/>
        </w:rPr>
      </w:pPr>
    </w:p>
    <w:p w14:paraId="7EC9822F" w14:textId="62E8C53A" w:rsidR="00D06C71" w:rsidRPr="00F03574" w:rsidRDefault="00D06C71" w:rsidP="00D06C71">
      <w:pPr>
        <w:rPr>
          <w:lang w:val="et-EE"/>
        </w:rPr>
      </w:pPr>
      <w:r w:rsidRPr="00F03574">
        <w:rPr>
          <w:lang w:val="et-EE"/>
        </w:rPr>
        <w:t>Andmekaitse inspektsiooni juhised leiab </w:t>
      </w:r>
      <w:hyperlink r:id="rId4" w:history="1">
        <w:r w:rsidRPr="00F03574">
          <w:rPr>
            <w:rStyle w:val="Hyperlink"/>
            <w:lang w:val="et-EE"/>
          </w:rPr>
          <w:t>http://www.aki.ee/et/eraelu-kaitse/juhised</w:t>
        </w:r>
      </w:hyperlink>
      <w:r w:rsidRPr="00F03574">
        <w:rPr>
          <w:lang w:val="et-EE"/>
        </w:rPr>
        <w:t>, e-posti puudutab "</w:t>
      </w:r>
      <w:hyperlink r:id="rId5" w:history="1">
        <w:r w:rsidRPr="00F03574">
          <w:rPr>
            <w:rStyle w:val="Hyperlink"/>
            <w:lang w:val="et-EE"/>
          </w:rPr>
          <w:t>Elektrooniliste kontaktandmete kasutamine otseturustuses</w:t>
        </w:r>
      </w:hyperlink>
      <w:r w:rsidRPr="00F03574">
        <w:rPr>
          <w:lang w:val="et-EE"/>
        </w:rPr>
        <w:t>".</w:t>
      </w:r>
    </w:p>
    <w:p w14:paraId="4B873585" w14:textId="77777777" w:rsidR="00A22066" w:rsidRPr="00F03574" w:rsidRDefault="00E85FB7" w:rsidP="00A22066">
      <w:pPr>
        <w:pStyle w:val="Heading1"/>
        <w:rPr>
          <w:lang w:val="et-EE"/>
        </w:rPr>
      </w:pPr>
      <w:r w:rsidRPr="00F03574">
        <w:rPr>
          <w:lang w:val="et-EE"/>
        </w:rPr>
        <w:t>Elektroonilise side seadus</w:t>
      </w:r>
    </w:p>
    <w:p w14:paraId="1D1D1D3D" w14:textId="77777777" w:rsidR="00E85FB7" w:rsidRPr="00F03574" w:rsidRDefault="00F03574" w:rsidP="00A22066">
      <w:pPr>
        <w:rPr>
          <w:lang w:val="et-EE"/>
        </w:rPr>
      </w:pPr>
      <w:hyperlink r:id="rId6" w:history="1">
        <w:r w:rsidR="00E85FB7" w:rsidRPr="00F03574">
          <w:rPr>
            <w:rStyle w:val="Hyperlink"/>
            <w:lang w:val="et-EE"/>
          </w:rPr>
          <w:t>https://www.riigiteataja.ee/akt/ESS?leiaKehtiv</w:t>
        </w:r>
      </w:hyperlink>
      <w:r w:rsidR="00E85FB7" w:rsidRPr="00F03574">
        <w:rPr>
          <w:lang w:val="et-EE"/>
        </w:rPr>
        <w:t xml:space="preserve"> </w:t>
      </w:r>
    </w:p>
    <w:p w14:paraId="00F7728C" w14:textId="77777777" w:rsidR="00E85FB7" w:rsidRPr="00F03574" w:rsidRDefault="00E85FB7">
      <w:pPr>
        <w:rPr>
          <w:lang w:val="et-EE"/>
        </w:rPr>
      </w:pPr>
    </w:p>
    <w:p w14:paraId="2FF21FFB" w14:textId="77777777" w:rsidR="00E85FB7" w:rsidRPr="00F03574" w:rsidRDefault="00E85FB7" w:rsidP="00A22066">
      <w:pPr>
        <w:pStyle w:val="Heading4"/>
        <w:rPr>
          <w:lang w:val="et-EE"/>
        </w:rPr>
      </w:pPr>
      <w:r w:rsidRPr="00F03574">
        <w:rPr>
          <w:lang w:val="et-EE"/>
        </w:rPr>
        <w:t>§ 1. </w:t>
      </w:r>
      <w:bookmarkStart w:id="0" w:name="para1"/>
      <w:r w:rsidRPr="00F03574">
        <w:rPr>
          <w:lang w:val="et-EE"/>
        </w:rPr>
        <w:t> </w:t>
      </w:r>
      <w:bookmarkEnd w:id="0"/>
      <w:r w:rsidRPr="00F03574">
        <w:rPr>
          <w:lang w:val="et-EE"/>
        </w:rPr>
        <w:t>Seaduse eesmärk ja reguleerimisala</w:t>
      </w:r>
    </w:p>
    <w:p w14:paraId="76C19FB9" w14:textId="77777777" w:rsidR="00E85FB7" w:rsidRPr="00F03574" w:rsidRDefault="00E85FB7">
      <w:pPr>
        <w:rPr>
          <w:sz w:val="20"/>
          <w:szCs w:val="20"/>
          <w:lang w:val="et-EE"/>
        </w:rPr>
      </w:pPr>
    </w:p>
    <w:p w14:paraId="7D1962BE" w14:textId="77777777" w:rsidR="00A22066" w:rsidRPr="00F03574" w:rsidRDefault="00E85FB7">
      <w:pPr>
        <w:rPr>
          <w:sz w:val="20"/>
          <w:szCs w:val="20"/>
          <w:lang w:val="et-EE"/>
        </w:rPr>
      </w:pPr>
      <w:r w:rsidRPr="00F03574">
        <w:rPr>
          <w:sz w:val="20"/>
          <w:szCs w:val="20"/>
          <w:lang w:val="et-EE"/>
        </w:rPr>
        <w:t>[…]</w:t>
      </w:r>
    </w:p>
    <w:p w14:paraId="51EE1639" w14:textId="77777777" w:rsidR="00E85FB7" w:rsidRPr="00F03574" w:rsidRDefault="00E85FB7" w:rsidP="00E85FB7">
      <w:pPr>
        <w:rPr>
          <w:sz w:val="20"/>
          <w:szCs w:val="20"/>
          <w:lang w:val="et-EE"/>
        </w:rPr>
      </w:pPr>
      <w:r w:rsidRPr="00F03574">
        <w:rPr>
          <w:sz w:val="20"/>
          <w:szCs w:val="20"/>
          <w:lang w:val="et-EE"/>
        </w:rPr>
        <w:t xml:space="preserve">(2) Käesolevas seaduses sätestatakse nõuded </w:t>
      </w:r>
      <w:proofErr w:type="spellStart"/>
      <w:r w:rsidRPr="00F03574">
        <w:rPr>
          <w:sz w:val="20"/>
          <w:szCs w:val="20"/>
          <w:lang w:val="et-EE"/>
        </w:rPr>
        <w:t>üldkasutatavatele</w:t>
      </w:r>
      <w:proofErr w:type="spellEnd"/>
      <w:r w:rsidRPr="00F03574">
        <w:rPr>
          <w:sz w:val="20"/>
          <w:szCs w:val="20"/>
          <w:lang w:val="et-EE"/>
        </w:rPr>
        <w:t xml:space="preserve"> elektroonilise side võrkudele ja teenustele, elektrooniliste kontaktandmete otseturustuseks kasutamisele, raadioside pidamisele, raadiosageduste ja numeratsiooni haldamisele ja aparatuurile ning riiklik järelevalve nende nõuete täitmise üle ja vastutus nende nõuete rikkumise eest.</w:t>
      </w:r>
    </w:p>
    <w:p w14:paraId="35D764A5" w14:textId="77777777" w:rsidR="00E85FB7" w:rsidRPr="00F03574" w:rsidRDefault="00E85FB7">
      <w:pPr>
        <w:rPr>
          <w:sz w:val="20"/>
          <w:szCs w:val="20"/>
          <w:lang w:val="et-EE"/>
        </w:rPr>
      </w:pPr>
      <w:r w:rsidRPr="00F03574">
        <w:rPr>
          <w:sz w:val="20"/>
          <w:szCs w:val="20"/>
          <w:lang w:val="et-EE"/>
        </w:rPr>
        <w:t>[…]</w:t>
      </w:r>
    </w:p>
    <w:p w14:paraId="233CE2EA" w14:textId="77777777" w:rsidR="00E85FB7" w:rsidRPr="00F03574" w:rsidRDefault="00E85FB7" w:rsidP="00E85FB7">
      <w:pPr>
        <w:rPr>
          <w:lang w:val="et-EE"/>
        </w:rPr>
      </w:pPr>
    </w:p>
    <w:p w14:paraId="71D9DDBB" w14:textId="77777777" w:rsidR="00A22066" w:rsidRPr="00F03574" w:rsidRDefault="00A22066" w:rsidP="00A22066">
      <w:pPr>
        <w:pStyle w:val="Heading4"/>
        <w:rPr>
          <w:lang w:val="et-EE"/>
        </w:rPr>
      </w:pPr>
      <w:r w:rsidRPr="00F03574">
        <w:rPr>
          <w:lang w:val="et-EE"/>
        </w:rPr>
        <w:t>§ 103. </w:t>
      </w:r>
      <w:bookmarkStart w:id="1" w:name="para103"/>
      <w:r w:rsidRPr="00F03574">
        <w:rPr>
          <w:lang w:val="et-EE"/>
        </w:rPr>
        <w:t> </w:t>
      </w:r>
      <w:bookmarkEnd w:id="1"/>
      <w:r w:rsidRPr="00F03574">
        <w:rPr>
          <w:lang w:val="et-EE"/>
        </w:rPr>
        <w:t>Andmete töötlemine turunduslikul eesmärgil</w:t>
      </w:r>
    </w:p>
    <w:p w14:paraId="4E1C4E03" w14:textId="77777777" w:rsidR="00A22066" w:rsidRPr="00F03574" w:rsidRDefault="00A22066" w:rsidP="00A22066">
      <w:pPr>
        <w:pStyle w:val="NormalWeb"/>
        <w:shd w:val="clear" w:color="auto" w:fill="FFFFFF"/>
        <w:spacing w:before="0" w:beforeAutospacing="0" w:after="0" w:afterAutospacing="0"/>
        <w:rPr>
          <w:lang w:val="et-EE"/>
        </w:rPr>
      </w:pPr>
      <w:r w:rsidRPr="00F03574">
        <w:rPr>
          <w:lang w:val="et-EE"/>
        </w:rPr>
        <w:t>Kui sideettevõtja soovib kliendi nõusolekul töödelda käesoleva seaduse § 102 lõikes 1 nimetatud andmeid turunduslikul eesmärgil, on ta kohustatud enne kliendilt nõusoleku võtmist informeerima teda, millist liiki andmeid on tal vaja selleks kasutada ja kui kaua ta kavatseb neid kasutada. Sideettevõtja on õigustatud kasutama tal turunduslikul eesmärgil kasutada lubatud andmeid üksnes seni, kuni see on vastava eesmärgi saavutamiseks vajalik. Sideettevõtja peab kliendi soovil andma talle teavet andmete kasutamise kohta.</w:t>
      </w:r>
    </w:p>
    <w:p w14:paraId="2EE9A554" w14:textId="77777777" w:rsidR="00A22066" w:rsidRPr="00F03574" w:rsidRDefault="00A22066" w:rsidP="00E85FB7">
      <w:pPr>
        <w:rPr>
          <w:sz w:val="20"/>
          <w:szCs w:val="20"/>
          <w:lang w:val="et-EE"/>
        </w:rPr>
      </w:pPr>
    </w:p>
    <w:p w14:paraId="547851FE" w14:textId="77777777" w:rsidR="00E85FB7" w:rsidRPr="00F03574" w:rsidRDefault="00E85FB7" w:rsidP="00A22066">
      <w:pPr>
        <w:pStyle w:val="Heading4"/>
        <w:rPr>
          <w:lang w:val="et-EE"/>
        </w:rPr>
      </w:pPr>
      <w:r w:rsidRPr="00F03574">
        <w:rPr>
          <w:lang w:val="et-EE"/>
        </w:rPr>
        <w:t>§ 103</w:t>
      </w:r>
      <w:r w:rsidRPr="00F03574">
        <w:rPr>
          <w:vertAlign w:val="superscript"/>
          <w:lang w:val="et-EE"/>
        </w:rPr>
        <w:t>1</w:t>
      </w:r>
      <w:r w:rsidRPr="00F03574">
        <w:rPr>
          <w:lang w:val="et-EE"/>
        </w:rPr>
        <w:t>.  Elektrooniliste kontaktandmete kasutamine otseturustuseks</w:t>
      </w:r>
    </w:p>
    <w:p w14:paraId="26EE6C3E" w14:textId="77777777" w:rsidR="00A22066" w:rsidRPr="00F03574" w:rsidRDefault="00A22066" w:rsidP="00E85FB7">
      <w:pPr>
        <w:rPr>
          <w:sz w:val="20"/>
          <w:szCs w:val="20"/>
          <w:lang w:val="et-EE"/>
        </w:rPr>
      </w:pPr>
    </w:p>
    <w:p w14:paraId="23BB60BD" w14:textId="77777777" w:rsidR="00E85FB7" w:rsidRPr="00F03574" w:rsidRDefault="00E85FB7" w:rsidP="00E85FB7">
      <w:pPr>
        <w:rPr>
          <w:sz w:val="20"/>
          <w:szCs w:val="20"/>
          <w:lang w:val="et-EE"/>
        </w:rPr>
      </w:pPr>
      <w:r w:rsidRPr="00F03574">
        <w:rPr>
          <w:sz w:val="20"/>
          <w:szCs w:val="20"/>
          <w:lang w:val="et-EE"/>
        </w:rPr>
        <w:t>(1) Füüsilisest isikust sideteenuse kasutaja või kliendi elektrooniliste kontaktandmete kasutamine otseturustuseks on lubatud üksnes tema eelneval nõusolekul. Nõusolek peab vastama isikuandmete kaitse seaduse §-s 12 sätestatud tingimustele.</w:t>
      </w:r>
    </w:p>
    <w:p w14:paraId="667B00CF" w14:textId="77777777" w:rsidR="00A22066" w:rsidRPr="00F03574" w:rsidRDefault="00A22066" w:rsidP="00E85FB7">
      <w:pPr>
        <w:rPr>
          <w:sz w:val="20"/>
          <w:szCs w:val="20"/>
          <w:lang w:val="et-EE"/>
        </w:rPr>
      </w:pPr>
    </w:p>
    <w:p w14:paraId="17DAF059" w14:textId="77777777" w:rsidR="00A22066" w:rsidRPr="00F03574" w:rsidRDefault="00E85FB7" w:rsidP="00E85FB7">
      <w:pPr>
        <w:rPr>
          <w:sz w:val="20"/>
          <w:szCs w:val="20"/>
          <w:lang w:val="et-EE"/>
        </w:rPr>
      </w:pPr>
      <w:r w:rsidRPr="00F03574">
        <w:rPr>
          <w:sz w:val="20"/>
          <w:szCs w:val="20"/>
          <w:lang w:val="et-EE"/>
        </w:rPr>
        <w:t>(2) Juriidilisest isikust sideteenuse kasutaja või kliendi elektrooniliste kontaktandmete kasutamine otseturustuseks on lubatud juhul, kui:</w:t>
      </w:r>
    </w:p>
    <w:p w14:paraId="4543566E" w14:textId="77777777" w:rsidR="00A22066" w:rsidRPr="00F03574" w:rsidRDefault="00E85FB7" w:rsidP="00A22066">
      <w:pPr>
        <w:ind w:left="720"/>
        <w:rPr>
          <w:sz w:val="20"/>
          <w:szCs w:val="20"/>
          <w:lang w:val="et-EE"/>
        </w:rPr>
      </w:pPr>
      <w:r w:rsidRPr="00F03574">
        <w:rPr>
          <w:sz w:val="20"/>
          <w:szCs w:val="20"/>
          <w:lang w:val="et-EE"/>
        </w:rPr>
        <w:t>1) kontaktandmete kasutamisel antakse iga kord selge ja arusaadav võimalus tasuta ja lihtsal viisil keelata oma kontaktandmete selline kasutamine;</w:t>
      </w:r>
    </w:p>
    <w:p w14:paraId="43579A78" w14:textId="77777777" w:rsidR="00E85FB7" w:rsidRPr="00F03574" w:rsidRDefault="00E85FB7" w:rsidP="00A22066">
      <w:pPr>
        <w:ind w:left="720"/>
        <w:rPr>
          <w:sz w:val="20"/>
          <w:szCs w:val="20"/>
          <w:lang w:val="et-EE"/>
        </w:rPr>
      </w:pPr>
      <w:r w:rsidRPr="00F03574">
        <w:rPr>
          <w:sz w:val="20"/>
          <w:szCs w:val="20"/>
          <w:lang w:val="et-EE"/>
        </w:rPr>
        <w:t>2) isikul võimaldatakse oma õigust keeldumisele realiseerida elektroonilise side võrgu kaudu.</w:t>
      </w:r>
    </w:p>
    <w:p w14:paraId="12CDC5A3" w14:textId="77777777" w:rsidR="00A22066" w:rsidRPr="00F03574" w:rsidRDefault="00A22066" w:rsidP="00E85FB7">
      <w:pPr>
        <w:rPr>
          <w:sz w:val="20"/>
          <w:szCs w:val="20"/>
          <w:lang w:val="et-EE"/>
        </w:rPr>
      </w:pPr>
    </w:p>
    <w:p w14:paraId="7B23C219" w14:textId="77777777" w:rsidR="00A22066" w:rsidRPr="00F03574" w:rsidRDefault="00E85FB7" w:rsidP="00E85FB7">
      <w:pPr>
        <w:rPr>
          <w:sz w:val="20"/>
          <w:szCs w:val="20"/>
          <w:lang w:val="et-EE"/>
        </w:rPr>
      </w:pPr>
      <w:r w:rsidRPr="00F03574">
        <w:rPr>
          <w:sz w:val="20"/>
          <w:szCs w:val="20"/>
          <w:lang w:val="et-EE"/>
        </w:rPr>
        <w:t>(3) Kui isik saab seoses toote müügi või teenuse osutamisega füüsilisest või juriidilisest isikust ostja elektroonilised kontaktandmed, võib käesoleva paragrahvi lõikes 1 sätestatust olenemata kasutada neid kontaktandmeid ostjale oma samasuguste toodete või teenuste otseturustuseks juhul, kui:</w:t>
      </w:r>
    </w:p>
    <w:p w14:paraId="25DA28A7" w14:textId="77777777" w:rsidR="00A22066" w:rsidRPr="00F03574" w:rsidRDefault="00E85FB7" w:rsidP="00A22066">
      <w:pPr>
        <w:ind w:left="720"/>
        <w:rPr>
          <w:sz w:val="20"/>
          <w:szCs w:val="20"/>
          <w:lang w:val="et-EE"/>
        </w:rPr>
      </w:pPr>
      <w:r w:rsidRPr="00F03574">
        <w:rPr>
          <w:sz w:val="20"/>
          <w:szCs w:val="20"/>
          <w:lang w:val="et-EE"/>
        </w:rPr>
        <w:t>1) ostjale antakse tema elektrooniliste kontaktandmete esmase kogumise ajal selge ja arusaadav võimalus tasuta ja lihtsal viisil keelata oma kontaktandmete selline kasutamine;</w:t>
      </w:r>
    </w:p>
    <w:p w14:paraId="3D5653FA" w14:textId="77777777" w:rsidR="00A22066" w:rsidRPr="00F03574" w:rsidRDefault="00E85FB7" w:rsidP="00A22066">
      <w:pPr>
        <w:ind w:left="720"/>
        <w:rPr>
          <w:sz w:val="20"/>
          <w:szCs w:val="20"/>
          <w:lang w:val="et-EE"/>
        </w:rPr>
      </w:pPr>
      <w:r w:rsidRPr="00F03574">
        <w:rPr>
          <w:sz w:val="20"/>
          <w:szCs w:val="20"/>
          <w:lang w:val="et-EE"/>
        </w:rPr>
        <w:t>2) ostjale antakse iga kord, kui tema elektroonilisi kontaktandmeid kasutatakse otseturustuseks, selge ja arusaadav võimalus tasuta ning lihtsal viisil keelata oma kontaktandmete selline kasutamine;</w:t>
      </w:r>
    </w:p>
    <w:p w14:paraId="33E07856" w14:textId="77777777" w:rsidR="00E85FB7" w:rsidRPr="00F03574" w:rsidRDefault="00E85FB7" w:rsidP="00A22066">
      <w:pPr>
        <w:ind w:left="720"/>
        <w:rPr>
          <w:sz w:val="20"/>
          <w:szCs w:val="20"/>
          <w:lang w:val="et-EE"/>
        </w:rPr>
      </w:pPr>
      <w:r w:rsidRPr="00F03574">
        <w:rPr>
          <w:sz w:val="20"/>
          <w:szCs w:val="20"/>
          <w:lang w:val="et-EE"/>
        </w:rPr>
        <w:lastRenderedPageBreak/>
        <w:t>3) ostjal võimaldatakse oma õigust keeldumisele realiseerida elektroonilise side võrgu kaudu.</w:t>
      </w:r>
    </w:p>
    <w:p w14:paraId="45753EE7" w14:textId="77777777" w:rsidR="00A22066" w:rsidRPr="00F03574" w:rsidRDefault="00A22066" w:rsidP="00E85FB7">
      <w:pPr>
        <w:rPr>
          <w:sz w:val="20"/>
          <w:szCs w:val="20"/>
          <w:lang w:val="et-EE"/>
        </w:rPr>
      </w:pPr>
    </w:p>
    <w:p w14:paraId="3DFAFE95" w14:textId="77777777" w:rsidR="00A22066" w:rsidRPr="00F03574" w:rsidRDefault="00E85FB7" w:rsidP="00E85FB7">
      <w:pPr>
        <w:rPr>
          <w:sz w:val="20"/>
          <w:szCs w:val="20"/>
          <w:lang w:val="et-EE"/>
        </w:rPr>
      </w:pPr>
      <w:r w:rsidRPr="00F03574">
        <w:rPr>
          <w:sz w:val="20"/>
          <w:szCs w:val="20"/>
          <w:lang w:val="et-EE"/>
        </w:rPr>
        <w:t>(4) Elektrooniliste kontaktandmete kasutamine otseturustuseks on keelatud juhul, kui:</w:t>
      </w:r>
    </w:p>
    <w:p w14:paraId="61056BB9" w14:textId="77777777" w:rsidR="00A22066" w:rsidRPr="00F03574" w:rsidRDefault="00E85FB7" w:rsidP="00A22066">
      <w:pPr>
        <w:ind w:left="720"/>
        <w:rPr>
          <w:sz w:val="20"/>
          <w:szCs w:val="20"/>
          <w:lang w:val="et-EE"/>
        </w:rPr>
      </w:pPr>
      <w:r w:rsidRPr="00F03574">
        <w:rPr>
          <w:sz w:val="20"/>
          <w:szCs w:val="20"/>
          <w:lang w:val="et-EE"/>
        </w:rPr>
        <w:t>1) isik, kelle nimel teave edastatakse, ei ole tuvastatav;</w:t>
      </w:r>
    </w:p>
    <w:p w14:paraId="280290FE" w14:textId="77777777" w:rsidR="00A22066" w:rsidRPr="00F03574" w:rsidRDefault="00E85FB7" w:rsidP="00A22066">
      <w:pPr>
        <w:ind w:left="720"/>
        <w:rPr>
          <w:sz w:val="20"/>
          <w:szCs w:val="20"/>
          <w:lang w:val="et-EE"/>
        </w:rPr>
      </w:pPr>
      <w:r w:rsidRPr="00F03574">
        <w:rPr>
          <w:sz w:val="20"/>
          <w:szCs w:val="20"/>
          <w:lang w:val="et-EE"/>
        </w:rPr>
        <w:t>2) edastatud teave ei sisalda juhendit või teavet, mis võimaldab sideteenuse kasutajal, kliendil või ostjal oma õigust keeldumisele realiseerida;</w:t>
      </w:r>
    </w:p>
    <w:p w14:paraId="058132A0" w14:textId="77777777" w:rsidR="00A22066" w:rsidRPr="00F03574" w:rsidRDefault="00E85FB7" w:rsidP="00A22066">
      <w:pPr>
        <w:ind w:left="720"/>
        <w:rPr>
          <w:sz w:val="20"/>
          <w:szCs w:val="20"/>
          <w:lang w:val="et-EE"/>
        </w:rPr>
      </w:pPr>
      <w:r w:rsidRPr="00F03574">
        <w:rPr>
          <w:sz w:val="20"/>
          <w:szCs w:val="20"/>
          <w:lang w:val="et-EE"/>
        </w:rPr>
        <w:t>3) edastatud teave ei vasta infoühiskonna teenuse seaduse § 5 lõikes 2 sätestatud nõuetele;</w:t>
      </w:r>
    </w:p>
    <w:p w14:paraId="487FC924" w14:textId="77777777" w:rsidR="00A22066" w:rsidRPr="00F03574" w:rsidRDefault="00E85FB7" w:rsidP="00A22066">
      <w:pPr>
        <w:ind w:left="720"/>
        <w:rPr>
          <w:sz w:val="20"/>
          <w:szCs w:val="20"/>
          <w:lang w:val="et-EE"/>
        </w:rPr>
      </w:pPr>
      <w:r w:rsidRPr="00F03574">
        <w:rPr>
          <w:sz w:val="20"/>
          <w:szCs w:val="20"/>
          <w:lang w:val="et-EE"/>
        </w:rPr>
        <w:t>4) edastatud teave ergutab isikuid külastama veebilehti, milles esitatud teave ei vasta käesoleva lõike punktis 3 viidatud nõuetele;</w:t>
      </w:r>
    </w:p>
    <w:p w14:paraId="69543993" w14:textId="77777777" w:rsidR="00E85FB7" w:rsidRPr="00F03574" w:rsidRDefault="00E85FB7" w:rsidP="00A22066">
      <w:pPr>
        <w:ind w:left="720"/>
        <w:rPr>
          <w:sz w:val="20"/>
          <w:szCs w:val="20"/>
          <w:lang w:val="et-EE"/>
        </w:rPr>
      </w:pPr>
      <w:r w:rsidRPr="00F03574">
        <w:rPr>
          <w:sz w:val="20"/>
          <w:szCs w:val="20"/>
          <w:lang w:val="et-EE"/>
        </w:rPr>
        <w:t>5) sideteenuse kasutaja, klient või ostja on keelanud oma elektrooniliste kontaktandmete kasutamise otseturustuseks.</w:t>
      </w:r>
    </w:p>
    <w:p w14:paraId="5F31B1E3" w14:textId="77777777" w:rsidR="00A22066" w:rsidRPr="00F03574" w:rsidRDefault="00A22066" w:rsidP="00E85FB7">
      <w:pPr>
        <w:rPr>
          <w:sz w:val="20"/>
          <w:szCs w:val="20"/>
          <w:lang w:val="et-EE"/>
        </w:rPr>
      </w:pPr>
    </w:p>
    <w:p w14:paraId="10824A7A" w14:textId="77777777" w:rsidR="00E85FB7" w:rsidRPr="00F03574" w:rsidRDefault="00E85FB7" w:rsidP="00E85FB7">
      <w:pPr>
        <w:rPr>
          <w:sz w:val="20"/>
          <w:szCs w:val="20"/>
          <w:lang w:val="et-EE"/>
        </w:rPr>
      </w:pPr>
      <w:r w:rsidRPr="00F03574">
        <w:rPr>
          <w:sz w:val="20"/>
          <w:szCs w:val="20"/>
          <w:lang w:val="et-EE"/>
        </w:rPr>
        <w:t>(5) Käesoleva paragrahvi lõikes 1 nimetatud nõusoleku tõendamise kohustus on isikul, kelle nimel otseturustust tehakse.</w:t>
      </w:r>
    </w:p>
    <w:p w14:paraId="716FEB35" w14:textId="77777777" w:rsidR="00A22066" w:rsidRPr="00F03574" w:rsidRDefault="00A22066" w:rsidP="00E85FB7">
      <w:pPr>
        <w:rPr>
          <w:sz w:val="20"/>
          <w:szCs w:val="20"/>
          <w:lang w:val="et-EE"/>
        </w:rPr>
      </w:pPr>
    </w:p>
    <w:p w14:paraId="6D9F35A1" w14:textId="77777777" w:rsidR="00E85FB7" w:rsidRPr="00F03574" w:rsidRDefault="00E85FB7" w:rsidP="00E85FB7">
      <w:pPr>
        <w:rPr>
          <w:sz w:val="20"/>
          <w:szCs w:val="20"/>
          <w:lang w:val="et-EE"/>
        </w:rPr>
      </w:pPr>
      <w:r w:rsidRPr="00F03574">
        <w:rPr>
          <w:sz w:val="20"/>
          <w:szCs w:val="20"/>
          <w:lang w:val="et-EE"/>
        </w:rPr>
        <w:t xml:space="preserve">(6) Käesolevas paragrahvis sätestatut ei kohaldata reaalajas toimuvale </w:t>
      </w:r>
      <w:proofErr w:type="spellStart"/>
      <w:r w:rsidRPr="00F03574">
        <w:rPr>
          <w:sz w:val="20"/>
          <w:szCs w:val="20"/>
          <w:lang w:val="et-EE"/>
        </w:rPr>
        <w:t>mitmepoolsele</w:t>
      </w:r>
      <w:proofErr w:type="spellEnd"/>
      <w:r w:rsidRPr="00F03574">
        <w:rPr>
          <w:sz w:val="20"/>
          <w:szCs w:val="20"/>
          <w:lang w:val="et-EE"/>
        </w:rPr>
        <w:t xml:space="preserve"> häälkõnele.</w:t>
      </w:r>
    </w:p>
    <w:p w14:paraId="0FD9588D" w14:textId="77777777" w:rsidR="00A22066" w:rsidRPr="00F03574" w:rsidRDefault="00A22066" w:rsidP="00E85FB7">
      <w:pPr>
        <w:rPr>
          <w:sz w:val="20"/>
          <w:szCs w:val="20"/>
          <w:lang w:val="et-EE"/>
        </w:rPr>
      </w:pPr>
    </w:p>
    <w:p w14:paraId="2026E4D4" w14:textId="77777777" w:rsidR="00A22066" w:rsidRPr="00F03574" w:rsidRDefault="00A22066" w:rsidP="00A22066">
      <w:pPr>
        <w:pStyle w:val="Heading1"/>
        <w:rPr>
          <w:lang w:val="et-EE"/>
        </w:rPr>
      </w:pPr>
      <w:r w:rsidRPr="00F03574">
        <w:rPr>
          <w:lang w:val="et-EE"/>
        </w:rPr>
        <w:t>Võl</w:t>
      </w:r>
      <w:r w:rsidR="00C007DE" w:rsidRPr="00F03574">
        <w:rPr>
          <w:lang w:val="et-EE"/>
        </w:rPr>
        <w:t>aõig</w:t>
      </w:r>
      <w:r w:rsidRPr="00F03574">
        <w:rPr>
          <w:lang w:val="et-EE"/>
        </w:rPr>
        <w:t>usseadus</w:t>
      </w:r>
    </w:p>
    <w:p w14:paraId="0F25570F" w14:textId="77777777" w:rsidR="00A22066" w:rsidRPr="00F03574" w:rsidRDefault="00F03574" w:rsidP="00A22066">
      <w:pPr>
        <w:rPr>
          <w:lang w:val="et-EE"/>
        </w:rPr>
      </w:pPr>
      <w:hyperlink r:id="rId7" w:anchor="para60" w:history="1">
        <w:r w:rsidR="00A22066" w:rsidRPr="00F03574">
          <w:rPr>
            <w:rStyle w:val="Hyperlink"/>
            <w:lang w:val="et-EE"/>
          </w:rPr>
          <w:t>https://www.riigiteataja.ee/akt/961235?leiaKehtiv#para60</w:t>
        </w:r>
      </w:hyperlink>
      <w:r w:rsidR="00A22066" w:rsidRPr="00F03574">
        <w:rPr>
          <w:lang w:val="et-EE"/>
        </w:rPr>
        <w:t xml:space="preserve"> </w:t>
      </w:r>
    </w:p>
    <w:p w14:paraId="26899D36" w14:textId="77777777" w:rsidR="00A22066" w:rsidRPr="00F03574" w:rsidRDefault="00A22066" w:rsidP="00A22066">
      <w:pPr>
        <w:rPr>
          <w:lang w:val="et-EE"/>
        </w:rPr>
      </w:pPr>
    </w:p>
    <w:p w14:paraId="0860F464" w14:textId="77777777" w:rsidR="00C007DE" w:rsidRPr="00F03574" w:rsidRDefault="00C007DE" w:rsidP="00C007DE">
      <w:pPr>
        <w:pStyle w:val="Heading4"/>
        <w:rPr>
          <w:lang w:val="et-EE"/>
        </w:rPr>
      </w:pPr>
      <w:r w:rsidRPr="00F03574">
        <w:rPr>
          <w:lang w:val="et-EE"/>
        </w:rPr>
        <w:t>§ 60.</w:t>
      </w:r>
      <w:bookmarkStart w:id="2" w:name="para62"/>
      <w:r w:rsidRPr="00F03574">
        <w:rPr>
          <w:lang w:val="et-EE"/>
        </w:rPr>
        <w:t> </w:t>
      </w:r>
      <w:bookmarkEnd w:id="2"/>
      <w:r w:rsidRPr="00F03574">
        <w:rPr>
          <w:lang w:val="et-EE"/>
        </w:rPr>
        <w:t>Sidevahendi kasutamise piirangud</w:t>
      </w:r>
    </w:p>
    <w:p w14:paraId="44E51298" w14:textId="543E66A6" w:rsidR="00C007DE" w:rsidRPr="00F03574" w:rsidRDefault="00C007DE" w:rsidP="000C3A99">
      <w:pPr>
        <w:pStyle w:val="NormalWeb"/>
        <w:shd w:val="clear" w:color="auto" w:fill="FFFFFF"/>
        <w:spacing w:before="0" w:beforeAutospacing="0" w:after="0" w:afterAutospacing="0"/>
        <w:rPr>
          <w:lang w:val="et-EE"/>
        </w:rPr>
      </w:pPr>
      <w:r w:rsidRPr="00F03574">
        <w:rPr>
          <w:lang w:val="et-EE"/>
        </w:rPr>
        <w:t>Pakkumise võib edastada tarbija faksile ja telefoni automaatvastajale või elektronpostiaadressile üksnes tarbija eelneval nõusolekul. Muid individuaalset suhtlemist võimaldavaid sidevahendeid võib pakkumise edastamiseks kasutada, kui tarbija ei ole nende kasutamist sõnaselgelt keelanud.</w:t>
      </w:r>
    </w:p>
    <w:p w14:paraId="789BE6D3" w14:textId="0076CF04" w:rsidR="000C3A99" w:rsidRPr="00F03574" w:rsidRDefault="000C3A99" w:rsidP="000C3A99">
      <w:pPr>
        <w:pStyle w:val="Heading1"/>
        <w:rPr>
          <w:lang w:val="et-EE"/>
        </w:rPr>
      </w:pPr>
      <w:r w:rsidRPr="00F03574">
        <w:rPr>
          <w:lang w:val="et-EE"/>
        </w:rPr>
        <w:t>Infoühiskonna teenuse seadus</w:t>
      </w:r>
    </w:p>
    <w:p w14:paraId="78F4E19E" w14:textId="5740C838" w:rsidR="000C3A99" w:rsidRPr="00F03574" w:rsidRDefault="00F03574" w:rsidP="000C3A99">
      <w:pPr>
        <w:rPr>
          <w:lang w:val="et-EE"/>
        </w:rPr>
      </w:pPr>
      <w:hyperlink r:id="rId8" w:anchor="para5" w:history="1">
        <w:r w:rsidR="000C3A99" w:rsidRPr="00F03574">
          <w:rPr>
            <w:rStyle w:val="Hyperlink"/>
            <w:lang w:val="et-EE"/>
          </w:rPr>
          <w:t>https://www.riigiteataja.ee/akt/InfoTS?leiaKehtiv#para5</w:t>
        </w:r>
      </w:hyperlink>
    </w:p>
    <w:p w14:paraId="19D5FA52" w14:textId="77777777" w:rsidR="000C3A99" w:rsidRPr="00F03574" w:rsidRDefault="000C3A99" w:rsidP="000C3A99">
      <w:pPr>
        <w:pStyle w:val="Heading4"/>
        <w:rPr>
          <w:lang w:val="et-EE"/>
        </w:rPr>
      </w:pPr>
      <w:r w:rsidRPr="00F03574">
        <w:rPr>
          <w:lang w:val="et-EE"/>
        </w:rPr>
        <w:t>§ 2. </w:t>
      </w:r>
      <w:bookmarkStart w:id="3" w:name="para2"/>
      <w:r w:rsidRPr="00F03574">
        <w:rPr>
          <w:lang w:val="et-EE"/>
        </w:rPr>
        <w:t> </w:t>
      </w:r>
      <w:bookmarkEnd w:id="3"/>
      <w:r w:rsidRPr="00F03574">
        <w:rPr>
          <w:lang w:val="et-EE"/>
        </w:rPr>
        <w:t>Mõisted</w:t>
      </w:r>
    </w:p>
    <w:p w14:paraId="40F0D6E8" w14:textId="3FBED94E" w:rsidR="000C3A99" w:rsidRPr="00F03574" w:rsidRDefault="000C3A99" w:rsidP="000C3A99">
      <w:pPr>
        <w:pStyle w:val="NormalWeb"/>
        <w:shd w:val="clear" w:color="auto" w:fill="FFFFFF"/>
        <w:spacing w:before="0" w:beforeAutospacing="0" w:after="0" w:afterAutospacing="0"/>
        <w:rPr>
          <w:lang w:val="et-EE"/>
        </w:rPr>
      </w:pPr>
      <w:r w:rsidRPr="00F03574">
        <w:rPr>
          <w:lang w:val="et-EE"/>
        </w:rPr>
        <w:t>Käesolevas seaduses kasutatakse mõisteid järgmises tähenduses:</w:t>
      </w:r>
      <w:r w:rsidRPr="00F03574">
        <w:rPr>
          <w:lang w:val="et-EE"/>
        </w:rPr>
        <w:br/>
        <w:t>1) </w:t>
      </w:r>
      <w:r w:rsidRPr="00F03574">
        <w:rPr>
          <w:i/>
          <w:lang w:val="et-EE"/>
        </w:rPr>
        <w:t>infoühiskonna teenus </w:t>
      </w:r>
      <w:r w:rsidRPr="00F03574">
        <w:rPr>
          <w:lang w:val="et-EE"/>
        </w:rPr>
        <w:t>– teenus, mida osutatakse majandus- või kutsetegevuse raames teenuse kasutaja otsesel taotlusel ja mille puhul andmeid töödeldakse, säilitatakse ja edastatakse digitaalkujul andmete töötlemiseks ja säilitamiseks mõeldud elektrooniliste vahendite abil, kusjuures osapooled ei viibi üheaegselt samas kohas. Infoühiskonna teenus peab olema täielikult üle kantud, edastatud ja vastu võetud elektrooniliste sidevahendite abil. Infoühiskonna teenus ei ole faksi ega telefonikõne abil edastatud teenus ega televisiooni- või raadioteenus;</w:t>
      </w:r>
    </w:p>
    <w:p w14:paraId="6B4DE655" w14:textId="77777777" w:rsidR="000C3A99" w:rsidRPr="00F03574" w:rsidRDefault="000C3A99" w:rsidP="000C3A99">
      <w:pPr>
        <w:rPr>
          <w:lang w:val="et-EE"/>
        </w:rPr>
      </w:pPr>
    </w:p>
    <w:p w14:paraId="2C202680" w14:textId="77777777" w:rsidR="000C3A99" w:rsidRPr="00F03574" w:rsidRDefault="000C3A99" w:rsidP="000C3A99">
      <w:pPr>
        <w:pStyle w:val="Heading4"/>
        <w:rPr>
          <w:lang w:val="et-EE"/>
        </w:rPr>
      </w:pPr>
      <w:r w:rsidRPr="00F03574">
        <w:rPr>
          <w:rStyle w:val="Strong"/>
          <w:rFonts w:ascii="Arial" w:eastAsia="Times New Roman" w:hAnsi="Arial" w:cs="Times New Roman"/>
          <w:b/>
          <w:bCs/>
          <w:color w:val="000000"/>
          <w:sz w:val="21"/>
          <w:szCs w:val="21"/>
          <w:bdr w:val="none" w:sz="0" w:space="0" w:color="auto" w:frame="1"/>
          <w:lang w:val="et-EE"/>
        </w:rPr>
        <w:t>§ 5.</w:t>
      </w:r>
      <w:r w:rsidRPr="00F03574">
        <w:rPr>
          <w:rStyle w:val="apple-converted-space"/>
          <w:rFonts w:ascii="Arial" w:eastAsia="Times New Roman" w:hAnsi="Arial" w:cs="Times New Roman"/>
          <w:color w:val="000000"/>
          <w:sz w:val="21"/>
          <w:szCs w:val="21"/>
          <w:bdr w:val="none" w:sz="0" w:space="0" w:color="auto" w:frame="1"/>
          <w:lang w:val="et-EE"/>
        </w:rPr>
        <w:t> </w:t>
      </w:r>
      <w:bookmarkStart w:id="4" w:name="para5"/>
      <w:r w:rsidRPr="00F03574">
        <w:rPr>
          <w:color w:val="0061AA"/>
          <w:bdr w:val="none" w:sz="0" w:space="0" w:color="auto" w:frame="1"/>
          <w:lang w:val="et-EE"/>
        </w:rPr>
        <w:t> </w:t>
      </w:r>
      <w:bookmarkEnd w:id="4"/>
      <w:r w:rsidRPr="00F03574">
        <w:rPr>
          <w:lang w:val="et-EE"/>
        </w:rPr>
        <w:t>Kommertsteadaanne</w:t>
      </w:r>
    </w:p>
    <w:p w14:paraId="2D8AA68E" w14:textId="3EA0711C" w:rsidR="000C3A99" w:rsidRPr="00F03574" w:rsidRDefault="000C3A99" w:rsidP="000C3A99">
      <w:pPr>
        <w:pStyle w:val="NormalWeb"/>
        <w:shd w:val="clear" w:color="auto" w:fill="FFFFFF"/>
        <w:spacing w:before="0" w:beforeAutospacing="0" w:after="0" w:afterAutospacing="0"/>
        <w:rPr>
          <w:lang w:val="et-EE"/>
        </w:rPr>
      </w:pPr>
      <w:r w:rsidRPr="00F03574">
        <w:rPr>
          <w:lang w:val="et-EE"/>
        </w:rPr>
        <w:t>(1) Kommertsteadaanne on igasugune teave, mis on kavandatud otseselt või kaudselt edendama majandus- või kutsetegevuses osaleva isiku nimel tema kaupade või teenuste pakkumist või tõstma sellise isiku mainet.</w:t>
      </w:r>
      <w:r w:rsidRPr="00F03574">
        <w:rPr>
          <w:lang w:val="et-EE"/>
        </w:rPr>
        <w:br/>
      </w:r>
    </w:p>
    <w:p w14:paraId="4FD86782" w14:textId="77777777" w:rsidR="000C3A99" w:rsidRPr="00F03574" w:rsidRDefault="000C3A99" w:rsidP="000C3A99">
      <w:pPr>
        <w:pStyle w:val="NormalWeb"/>
        <w:shd w:val="clear" w:color="auto" w:fill="FFFFFF"/>
        <w:spacing w:before="0" w:beforeAutospacing="0" w:after="0" w:afterAutospacing="0"/>
        <w:rPr>
          <w:lang w:val="et-EE"/>
        </w:rPr>
      </w:pPr>
      <w:r w:rsidRPr="00F03574">
        <w:rPr>
          <w:lang w:val="et-EE"/>
        </w:rPr>
        <w:t>(2) Kommertsteadaanne peab:</w:t>
      </w:r>
    </w:p>
    <w:p w14:paraId="7AD453D1" w14:textId="3C07BF51" w:rsidR="000C3A99" w:rsidRPr="00F03574" w:rsidRDefault="000C3A99" w:rsidP="000C3A99">
      <w:pPr>
        <w:pStyle w:val="NormalWeb"/>
        <w:shd w:val="clear" w:color="auto" w:fill="FFFFFF"/>
        <w:spacing w:before="0" w:beforeAutospacing="0" w:after="0" w:afterAutospacing="0"/>
        <w:ind w:left="720"/>
        <w:rPr>
          <w:lang w:val="et-EE"/>
        </w:rPr>
      </w:pPr>
      <w:r w:rsidRPr="00F03574">
        <w:rPr>
          <w:lang w:val="et-EE"/>
        </w:rPr>
        <w:t>1) olema selgelt tuvastatav kommertsteadaandena;</w:t>
      </w:r>
      <w:r w:rsidRPr="00F03574">
        <w:rPr>
          <w:lang w:val="et-EE"/>
        </w:rPr>
        <w:br/>
        <w:t>2) võimaldama selgelt tuvastada isikut, kelle nimel kommertsteadaanne esitatakse;</w:t>
      </w:r>
      <w:r w:rsidRPr="00F03574">
        <w:rPr>
          <w:lang w:val="et-EE"/>
        </w:rPr>
        <w:br/>
        <w:t xml:space="preserve">3) võimaldama selgelt tuvastada </w:t>
      </w:r>
      <w:proofErr w:type="spellStart"/>
      <w:r w:rsidRPr="00F03574">
        <w:rPr>
          <w:lang w:val="et-EE"/>
        </w:rPr>
        <w:t>müügiedenduspakkumisi</w:t>
      </w:r>
      <w:proofErr w:type="spellEnd"/>
      <w:r w:rsidRPr="00F03574">
        <w:rPr>
          <w:lang w:val="et-EE"/>
        </w:rPr>
        <w:t xml:space="preserve">, sealhulgas allahindlusi, autasusid ja kingitusi ning </w:t>
      </w:r>
      <w:proofErr w:type="spellStart"/>
      <w:r w:rsidRPr="00F03574">
        <w:rPr>
          <w:lang w:val="et-EE"/>
        </w:rPr>
        <w:t>müügiedendusvõistlusi</w:t>
      </w:r>
      <w:proofErr w:type="spellEnd"/>
      <w:r w:rsidRPr="00F03574">
        <w:rPr>
          <w:lang w:val="et-EE"/>
        </w:rPr>
        <w:t>- ja mänge;</w:t>
      </w:r>
      <w:r w:rsidRPr="00F03574">
        <w:rPr>
          <w:lang w:val="et-EE"/>
        </w:rPr>
        <w:br/>
        <w:t xml:space="preserve">4) selgelt esitama käesoleva lõike punktis 3 nimetatud </w:t>
      </w:r>
      <w:proofErr w:type="spellStart"/>
      <w:r w:rsidRPr="00F03574">
        <w:rPr>
          <w:lang w:val="et-EE"/>
        </w:rPr>
        <w:t>müügiedenduspakkumiste</w:t>
      </w:r>
      <w:proofErr w:type="spellEnd"/>
      <w:r w:rsidRPr="00F03574">
        <w:rPr>
          <w:lang w:val="et-EE"/>
        </w:rPr>
        <w:t xml:space="preserve"> ja kaubanduslike loteriide osalemistingimusi.</w:t>
      </w:r>
    </w:p>
    <w:p w14:paraId="03A5C452" w14:textId="77777777" w:rsidR="000C3A99" w:rsidRPr="00F03574" w:rsidRDefault="000C3A99" w:rsidP="000C3A99">
      <w:pPr>
        <w:pStyle w:val="NormalWeb"/>
        <w:shd w:val="clear" w:color="auto" w:fill="FFFFFF"/>
        <w:spacing w:before="0" w:beforeAutospacing="0" w:after="0" w:afterAutospacing="0"/>
        <w:rPr>
          <w:lang w:val="et-EE"/>
        </w:rPr>
      </w:pPr>
      <w:r w:rsidRPr="00F03574">
        <w:rPr>
          <w:lang w:val="et-EE"/>
        </w:rPr>
        <w:lastRenderedPageBreak/>
        <w:t>(3) Kommertsteadaanne ei ole:</w:t>
      </w:r>
    </w:p>
    <w:p w14:paraId="17A365D9" w14:textId="214689E4" w:rsidR="000C3A99" w:rsidRPr="00F03574" w:rsidRDefault="000C3A99" w:rsidP="000C3A99">
      <w:pPr>
        <w:pStyle w:val="NormalWeb"/>
        <w:shd w:val="clear" w:color="auto" w:fill="FFFFFF"/>
        <w:spacing w:before="0" w:beforeAutospacing="0" w:after="0" w:afterAutospacing="0"/>
        <w:ind w:left="720"/>
        <w:rPr>
          <w:lang w:val="et-EE"/>
        </w:rPr>
      </w:pPr>
      <w:r w:rsidRPr="00F03574">
        <w:rPr>
          <w:lang w:val="et-EE"/>
        </w:rPr>
        <w:t>1) teave, mis võimaldab otsest juurdepääsu füüsilise või juriidilise isiku tegevusele, sealhulgas domeeninimi või elektronposti aadress;</w:t>
      </w:r>
      <w:r w:rsidRPr="00F03574">
        <w:rPr>
          <w:lang w:val="et-EE"/>
        </w:rPr>
        <w:br/>
        <w:t>2) teave, mis on esitatud isikust sõltumatult tema maine, pakutava kauba või teenuse kohta.</w:t>
      </w:r>
    </w:p>
    <w:p w14:paraId="049660A2" w14:textId="77777777" w:rsidR="00F03574" w:rsidRPr="00F03574" w:rsidRDefault="00F03574">
      <w:pPr>
        <w:pStyle w:val="NormalWeb"/>
        <w:shd w:val="clear" w:color="auto" w:fill="FFFFFF"/>
        <w:spacing w:before="0" w:beforeAutospacing="0" w:after="0" w:afterAutospacing="0"/>
        <w:ind w:left="720"/>
        <w:rPr>
          <w:lang w:val="et-EE"/>
        </w:rPr>
      </w:pPr>
    </w:p>
    <w:sectPr w:rsidR="00F03574" w:rsidRPr="00F03574" w:rsidSect="003826F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BB"/>
    <w:rsid w:val="000C3A99"/>
    <w:rsid w:val="00273E96"/>
    <w:rsid w:val="003826FA"/>
    <w:rsid w:val="00491ABB"/>
    <w:rsid w:val="0057653B"/>
    <w:rsid w:val="00661B8F"/>
    <w:rsid w:val="009E2D5A"/>
    <w:rsid w:val="00A21A4B"/>
    <w:rsid w:val="00A22066"/>
    <w:rsid w:val="00B136B1"/>
    <w:rsid w:val="00C007DE"/>
    <w:rsid w:val="00D06C71"/>
    <w:rsid w:val="00E85FB7"/>
    <w:rsid w:val="00F03574"/>
    <w:rsid w:val="00FF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1B6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0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20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85FB7"/>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A220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FB7"/>
    <w:rPr>
      <w:color w:val="0000FF" w:themeColor="hyperlink"/>
      <w:u w:val="single"/>
    </w:rPr>
  </w:style>
  <w:style w:type="character" w:customStyle="1" w:styleId="Heading3Char">
    <w:name w:val="Heading 3 Char"/>
    <w:basedOn w:val="DefaultParagraphFont"/>
    <w:link w:val="Heading3"/>
    <w:uiPriority w:val="9"/>
    <w:rsid w:val="00E85FB7"/>
    <w:rPr>
      <w:rFonts w:ascii="Times" w:hAnsi="Times"/>
      <w:b/>
      <w:bCs/>
      <w:sz w:val="27"/>
      <w:szCs w:val="27"/>
    </w:rPr>
  </w:style>
  <w:style w:type="character" w:styleId="Strong">
    <w:name w:val="Strong"/>
    <w:basedOn w:val="DefaultParagraphFont"/>
    <w:uiPriority w:val="22"/>
    <w:qFormat/>
    <w:rsid w:val="00E85FB7"/>
    <w:rPr>
      <w:b/>
      <w:bCs/>
    </w:rPr>
  </w:style>
  <w:style w:type="character" w:customStyle="1" w:styleId="apple-converted-space">
    <w:name w:val="apple-converted-space"/>
    <w:basedOn w:val="DefaultParagraphFont"/>
    <w:rsid w:val="00E85FB7"/>
  </w:style>
  <w:style w:type="character" w:customStyle="1" w:styleId="Heading2Char">
    <w:name w:val="Heading 2 Char"/>
    <w:basedOn w:val="DefaultParagraphFont"/>
    <w:link w:val="Heading2"/>
    <w:uiPriority w:val="9"/>
    <w:rsid w:val="00A2206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22066"/>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A22066"/>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rsid w:val="00A22066"/>
    <w:rPr>
      <w:rFonts w:asciiTheme="majorHAnsi" w:eastAsiaTheme="majorEastAsia" w:hAnsiTheme="majorHAnsi" w:cstheme="majorBidi"/>
      <w:b/>
      <w:bCs/>
      <w:i/>
      <w:iCs/>
      <w:color w:val="4F81BD" w:themeColor="accent1"/>
    </w:rPr>
  </w:style>
  <w:style w:type="character" w:customStyle="1" w:styleId="mm">
    <w:name w:val="mm"/>
    <w:basedOn w:val="DefaultParagraphFont"/>
    <w:rsid w:val="000C3A99"/>
  </w:style>
  <w:style w:type="character" w:styleId="FollowedHyperlink">
    <w:name w:val="FollowedHyperlink"/>
    <w:basedOn w:val="DefaultParagraphFont"/>
    <w:uiPriority w:val="99"/>
    <w:semiHidden/>
    <w:unhideWhenUsed/>
    <w:rsid w:val="000C3A99"/>
    <w:rPr>
      <w:color w:val="800080" w:themeColor="followedHyperlink"/>
      <w:u w:val="single"/>
    </w:rPr>
  </w:style>
  <w:style w:type="paragraph" w:styleId="BalloonText">
    <w:name w:val="Balloon Text"/>
    <w:basedOn w:val="Normal"/>
    <w:link w:val="BalloonTextChar"/>
    <w:uiPriority w:val="99"/>
    <w:semiHidden/>
    <w:unhideWhenUsed/>
    <w:rsid w:val="00F035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35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7490">
      <w:bodyDiv w:val="1"/>
      <w:marLeft w:val="0"/>
      <w:marRight w:val="0"/>
      <w:marTop w:val="0"/>
      <w:marBottom w:val="0"/>
      <w:divBdr>
        <w:top w:val="none" w:sz="0" w:space="0" w:color="auto"/>
        <w:left w:val="none" w:sz="0" w:space="0" w:color="auto"/>
        <w:bottom w:val="none" w:sz="0" w:space="0" w:color="auto"/>
        <w:right w:val="none" w:sz="0" w:space="0" w:color="auto"/>
      </w:divBdr>
    </w:div>
    <w:div w:id="255946573">
      <w:bodyDiv w:val="1"/>
      <w:marLeft w:val="0"/>
      <w:marRight w:val="0"/>
      <w:marTop w:val="0"/>
      <w:marBottom w:val="0"/>
      <w:divBdr>
        <w:top w:val="none" w:sz="0" w:space="0" w:color="auto"/>
        <w:left w:val="none" w:sz="0" w:space="0" w:color="auto"/>
        <w:bottom w:val="none" w:sz="0" w:space="0" w:color="auto"/>
        <w:right w:val="none" w:sz="0" w:space="0" w:color="auto"/>
      </w:divBdr>
    </w:div>
    <w:div w:id="576137745">
      <w:bodyDiv w:val="1"/>
      <w:marLeft w:val="0"/>
      <w:marRight w:val="0"/>
      <w:marTop w:val="0"/>
      <w:marBottom w:val="0"/>
      <w:divBdr>
        <w:top w:val="none" w:sz="0" w:space="0" w:color="auto"/>
        <w:left w:val="none" w:sz="0" w:space="0" w:color="auto"/>
        <w:bottom w:val="none" w:sz="0" w:space="0" w:color="auto"/>
        <w:right w:val="none" w:sz="0" w:space="0" w:color="auto"/>
      </w:divBdr>
    </w:div>
    <w:div w:id="810945478">
      <w:bodyDiv w:val="1"/>
      <w:marLeft w:val="0"/>
      <w:marRight w:val="0"/>
      <w:marTop w:val="0"/>
      <w:marBottom w:val="0"/>
      <w:divBdr>
        <w:top w:val="none" w:sz="0" w:space="0" w:color="auto"/>
        <w:left w:val="none" w:sz="0" w:space="0" w:color="auto"/>
        <w:bottom w:val="none" w:sz="0" w:space="0" w:color="auto"/>
        <w:right w:val="none" w:sz="0" w:space="0" w:color="auto"/>
      </w:divBdr>
    </w:div>
    <w:div w:id="910503718">
      <w:bodyDiv w:val="1"/>
      <w:marLeft w:val="0"/>
      <w:marRight w:val="0"/>
      <w:marTop w:val="0"/>
      <w:marBottom w:val="0"/>
      <w:divBdr>
        <w:top w:val="none" w:sz="0" w:space="0" w:color="auto"/>
        <w:left w:val="none" w:sz="0" w:space="0" w:color="auto"/>
        <w:bottom w:val="none" w:sz="0" w:space="0" w:color="auto"/>
        <w:right w:val="none" w:sz="0" w:space="0" w:color="auto"/>
      </w:divBdr>
    </w:div>
    <w:div w:id="1206677183">
      <w:bodyDiv w:val="1"/>
      <w:marLeft w:val="0"/>
      <w:marRight w:val="0"/>
      <w:marTop w:val="0"/>
      <w:marBottom w:val="0"/>
      <w:divBdr>
        <w:top w:val="none" w:sz="0" w:space="0" w:color="auto"/>
        <w:left w:val="none" w:sz="0" w:space="0" w:color="auto"/>
        <w:bottom w:val="none" w:sz="0" w:space="0" w:color="auto"/>
        <w:right w:val="none" w:sz="0" w:space="0" w:color="auto"/>
      </w:divBdr>
    </w:div>
    <w:div w:id="1661733984">
      <w:bodyDiv w:val="1"/>
      <w:marLeft w:val="0"/>
      <w:marRight w:val="0"/>
      <w:marTop w:val="0"/>
      <w:marBottom w:val="0"/>
      <w:divBdr>
        <w:top w:val="none" w:sz="0" w:space="0" w:color="auto"/>
        <w:left w:val="none" w:sz="0" w:space="0" w:color="auto"/>
        <w:bottom w:val="none" w:sz="0" w:space="0" w:color="auto"/>
        <w:right w:val="none" w:sz="0" w:space="0" w:color="auto"/>
      </w:divBdr>
    </w:div>
    <w:div w:id="1679504766">
      <w:bodyDiv w:val="1"/>
      <w:marLeft w:val="0"/>
      <w:marRight w:val="0"/>
      <w:marTop w:val="0"/>
      <w:marBottom w:val="0"/>
      <w:divBdr>
        <w:top w:val="none" w:sz="0" w:space="0" w:color="auto"/>
        <w:left w:val="none" w:sz="0" w:space="0" w:color="auto"/>
        <w:bottom w:val="none" w:sz="0" w:space="0" w:color="auto"/>
        <w:right w:val="none" w:sz="0" w:space="0" w:color="auto"/>
      </w:divBdr>
    </w:div>
    <w:div w:id="1697340739">
      <w:bodyDiv w:val="1"/>
      <w:marLeft w:val="0"/>
      <w:marRight w:val="0"/>
      <w:marTop w:val="0"/>
      <w:marBottom w:val="0"/>
      <w:divBdr>
        <w:top w:val="none" w:sz="0" w:space="0" w:color="auto"/>
        <w:left w:val="none" w:sz="0" w:space="0" w:color="auto"/>
        <w:bottom w:val="none" w:sz="0" w:space="0" w:color="auto"/>
        <w:right w:val="none" w:sz="0" w:space="0" w:color="auto"/>
      </w:divBdr>
    </w:div>
    <w:div w:id="1700934677">
      <w:bodyDiv w:val="1"/>
      <w:marLeft w:val="0"/>
      <w:marRight w:val="0"/>
      <w:marTop w:val="0"/>
      <w:marBottom w:val="0"/>
      <w:divBdr>
        <w:top w:val="none" w:sz="0" w:space="0" w:color="auto"/>
        <w:left w:val="none" w:sz="0" w:space="0" w:color="auto"/>
        <w:bottom w:val="none" w:sz="0" w:space="0" w:color="auto"/>
        <w:right w:val="none" w:sz="0" w:space="0" w:color="auto"/>
      </w:divBdr>
    </w:div>
    <w:div w:id="2080900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InfoTS?leiaKehtiv" TargetMode="External"/><Relationship Id="rId3" Type="http://schemas.openxmlformats.org/officeDocument/2006/relationships/webSettings" Target="webSettings.xml"/><Relationship Id="rId7" Type="http://schemas.openxmlformats.org/officeDocument/2006/relationships/hyperlink" Target="https://www.riigiteataja.ee/akt/961235?leiaKeht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igiteataja.ee/akt/ESS?leiaKehtiv" TargetMode="External"/><Relationship Id="rId5" Type="http://schemas.openxmlformats.org/officeDocument/2006/relationships/hyperlink" Target="http://www.aki.ee/sites/www.aki.ee/files/elfinder/article_files/Juhised/Elektrooniliste%20kontaktandmete%20kasutamine%20otseturustuseks-uuendatud20.02.2015.pdf" TargetMode="External"/><Relationship Id="rId10" Type="http://schemas.openxmlformats.org/officeDocument/2006/relationships/theme" Target="theme/theme1.xml"/><Relationship Id="rId4" Type="http://schemas.openxmlformats.org/officeDocument/2006/relationships/hyperlink" Target="http://www.aki.ee/et/eraelu-kaitse/juhise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6662</Characters>
  <Application>Microsoft Office Word</Application>
  <DocSecurity>0</DocSecurity>
  <Lines>154</Lines>
  <Paragraphs>62</Paragraphs>
  <ScaleCrop>false</ScaleCrop>
  <HeadingPairs>
    <vt:vector size="2" baseType="variant">
      <vt:variant>
        <vt:lpstr>Title</vt:lpstr>
      </vt:variant>
      <vt:variant>
        <vt:i4>1</vt:i4>
      </vt:variant>
    </vt:vector>
  </HeadingPairs>
  <TitlesOfParts>
    <vt:vector size="1" baseType="lpstr">
      <vt:lpstr>No-spam deklaratsioon</vt:lpstr>
    </vt:vector>
  </TitlesOfParts>
  <Manager/>
  <Company/>
  <LinksUpToDate>false</LinksUpToDate>
  <CharactersWithSpaces>7476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No-spam deklaratsioon</dc:title>
  <dc:subject/>
  <dc:creator/>
  <cp:keywords/>
  <dc:description>Versioon 1.01, Spamhouse soovitatud täiendustega 08.12.2020</dc:description>
  <cp:lastModifiedBy/>
  <cp:revision>1</cp:revision>
  <dcterms:created xsi:type="dcterms:W3CDTF">2020-12-08T14:22:00Z</dcterms:created>
  <dcterms:modified xsi:type="dcterms:W3CDTF">2020-12-08T14:22:00Z</dcterms:modified>
  <cp:category/>
</cp:coreProperties>
</file>